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D88" w:rsidRPr="005171EC" w:rsidRDefault="00374D88" w:rsidP="00374D88">
      <w:pPr>
        <w:ind w:left="720" w:hanging="630"/>
        <w:jc w:val="center"/>
        <w:rPr>
          <w:rFonts w:cs="Arabic Transparent"/>
          <w:b/>
          <w:bCs/>
          <w:sz w:val="30"/>
          <w:szCs w:val="30"/>
          <w:rtl/>
          <w:lang w:bidi="ar-TN"/>
        </w:rPr>
      </w:pPr>
      <w:r w:rsidRPr="005171EC">
        <w:rPr>
          <w:b/>
          <w:bCs/>
          <w:sz w:val="24"/>
          <w:szCs w:val="28"/>
          <w:lang w:val="fr-FR"/>
        </w:rPr>
        <w:t>Ministère de l’Enseignement Supérieur</w:t>
      </w:r>
      <w:r>
        <w:rPr>
          <w:b/>
          <w:bCs/>
          <w:sz w:val="24"/>
          <w:szCs w:val="28"/>
          <w:lang w:val="fr-FR"/>
        </w:rPr>
        <w:t>&amp;</w:t>
      </w:r>
      <w:r w:rsidRPr="005171EC">
        <w:rPr>
          <w:b/>
          <w:bCs/>
          <w:sz w:val="24"/>
          <w:szCs w:val="28"/>
          <w:lang w:val="fr-FR"/>
        </w:rPr>
        <w:t xml:space="preserve"> de la Recherche Scientifiqu</w:t>
      </w:r>
      <w:r>
        <w:rPr>
          <w:b/>
          <w:bCs/>
          <w:sz w:val="24"/>
          <w:szCs w:val="28"/>
          <w:lang w:val="fr-FR"/>
        </w:rPr>
        <w:t>e</w:t>
      </w:r>
    </w:p>
    <w:p w:rsidR="00374D88" w:rsidRPr="004841E2" w:rsidRDefault="00374D88" w:rsidP="00374D88">
      <w:pPr>
        <w:bidi w:val="0"/>
        <w:jc w:val="center"/>
        <w:rPr>
          <w:b/>
          <w:bCs/>
          <w:sz w:val="24"/>
          <w:rtl/>
          <w:lang w:val="fr-FR"/>
        </w:rPr>
      </w:pPr>
      <w:r w:rsidRPr="004841E2">
        <w:rPr>
          <w:b/>
          <w:bCs/>
          <w:sz w:val="24"/>
          <w:lang w:val="fr-FR"/>
        </w:rPr>
        <w:t xml:space="preserve">Université de </w:t>
      </w:r>
      <w:smartTag w:uri="urn:schemas-microsoft-com:office:smarttags" w:element="PersonName">
        <w:smartTagPr>
          <w:attr w:name="ProductID" w:val="la Manouba"/>
        </w:smartTagPr>
        <w:r w:rsidRPr="004841E2">
          <w:rPr>
            <w:b/>
            <w:bCs/>
            <w:sz w:val="24"/>
            <w:lang w:val="fr-FR"/>
          </w:rPr>
          <w:t xml:space="preserve">la </w:t>
        </w:r>
        <w:proofErr w:type="spellStart"/>
        <w:r w:rsidRPr="004841E2">
          <w:rPr>
            <w:b/>
            <w:bCs/>
            <w:sz w:val="24"/>
            <w:lang w:val="fr-FR"/>
          </w:rPr>
          <w:t>Manouba</w:t>
        </w:r>
      </w:smartTag>
      <w:proofErr w:type="spellEnd"/>
    </w:p>
    <w:p w:rsidR="00374D88" w:rsidRDefault="00374D88" w:rsidP="00374D88">
      <w:pPr>
        <w:pStyle w:val="Titre"/>
        <w:rPr>
          <w:shadow w:val="0"/>
          <w:sz w:val="24"/>
          <w:szCs w:val="24"/>
        </w:rPr>
      </w:pPr>
    </w:p>
    <w:p w:rsidR="00374D88" w:rsidRDefault="00374D88" w:rsidP="000F437C">
      <w:pPr>
        <w:pStyle w:val="Titre"/>
        <w:rPr>
          <w:shadow w:val="0"/>
          <w:sz w:val="24"/>
          <w:szCs w:val="24"/>
        </w:rPr>
      </w:pPr>
      <w:r w:rsidRPr="004841E2">
        <w:rPr>
          <w:shadow w:val="0"/>
          <w:sz w:val="24"/>
          <w:szCs w:val="24"/>
        </w:rPr>
        <w:t>Avis d</w:t>
      </w:r>
      <w:r w:rsidRPr="004841E2">
        <w:rPr>
          <w:shadow w:val="0"/>
          <w:sz w:val="24"/>
          <w:szCs w:val="24"/>
          <w:rtl/>
        </w:rPr>
        <w:t>’</w:t>
      </w:r>
      <w:r w:rsidRPr="004841E2">
        <w:rPr>
          <w:shadow w:val="0"/>
          <w:sz w:val="24"/>
          <w:szCs w:val="24"/>
        </w:rPr>
        <w:t xml:space="preserve">Appel d’Offres </w:t>
      </w:r>
      <w:r w:rsidR="001058F4">
        <w:rPr>
          <w:shadow w:val="0"/>
          <w:sz w:val="24"/>
          <w:szCs w:val="24"/>
        </w:rPr>
        <w:t>National</w:t>
      </w:r>
      <w:r w:rsidRPr="004841E2">
        <w:rPr>
          <w:shadow w:val="0"/>
          <w:sz w:val="24"/>
          <w:szCs w:val="24"/>
        </w:rPr>
        <w:t xml:space="preserve"> n</w:t>
      </w:r>
      <w:r w:rsidRPr="00BD0835">
        <w:rPr>
          <w:shadow w:val="0"/>
          <w:sz w:val="24"/>
          <w:szCs w:val="24"/>
        </w:rPr>
        <w:t xml:space="preserve">° </w:t>
      </w:r>
      <w:r w:rsidR="00892453">
        <w:rPr>
          <w:shadow w:val="0"/>
          <w:sz w:val="24"/>
          <w:szCs w:val="24"/>
        </w:rPr>
        <w:t>0</w:t>
      </w:r>
      <w:r w:rsidR="000F437C">
        <w:rPr>
          <w:shadow w:val="0"/>
          <w:sz w:val="24"/>
          <w:szCs w:val="24"/>
        </w:rPr>
        <w:t>6</w:t>
      </w:r>
      <w:r w:rsidRPr="00892453">
        <w:rPr>
          <w:shadow w:val="0"/>
          <w:sz w:val="24"/>
          <w:szCs w:val="24"/>
        </w:rPr>
        <w:t>/2012</w:t>
      </w:r>
      <w:r w:rsidRPr="004841E2">
        <w:rPr>
          <w:shadow w:val="0"/>
          <w:sz w:val="24"/>
          <w:szCs w:val="24"/>
        </w:rPr>
        <w:t xml:space="preserve"> : </w:t>
      </w:r>
    </w:p>
    <w:p w:rsidR="00307136" w:rsidRDefault="00374D88" w:rsidP="001058F4">
      <w:pPr>
        <w:pStyle w:val="Titre"/>
        <w:rPr>
          <w:shadow w:val="0"/>
        </w:rPr>
      </w:pPr>
      <w:r w:rsidRPr="00451CE0">
        <w:rPr>
          <w:shadow w:val="0"/>
        </w:rPr>
        <w:t xml:space="preserve">Acquisition </w:t>
      </w:r>
      <w:r w:rsidR="001058F4">
        <w:rPr>
          <w:shadow w:val="0"/>
        </w:rPr>
        <w:t>d’un bus</w:t>
      </w:r>
      <w:r w:rsidRPr="00451CE0">
        <w:rPr>
          <w:shadow w:val="0"/>
        </w:rPr>
        <w:t xml:space="preserve"> </w:t>
      </w:r>
      <w:r w:rsidR="00B422D4">
        <w:rPr>
          <w:shadow w:val="0"/>
        </w:rPr>
        <w:t>au profit de</w:t>
      </w:r>
      <w:r w:rsidR="001058F4">
        <w:rPr>
          <w:shadow w:val="0"/>
        </w:rPr>
        <w:t xml:space="preserve"> </w:t>
      </w:r>
      <w:r w:rsidRPr="00451CE0">
        <w:rPr>
          <w:shadow w:val="0"/>
        </w:rPr>
        <w:t>l’Institut Supérieur de Biotechnologie</w:t>
      </w:r>
    </w:p>
    <w:p w:rsidR="00374D88" w:rsidRDefault="00374D88" w:rsidP="001058F4">
      <w:pPr>
        <w:pStyle w:val="Titre"/>
        <w:rPr>
          <w:shadow w:val="0"/>
        </w:rPr>
      </w:pPr>
      <w:r w:rsidRPr="00451CE0">
        <w:rPr>
          <w:shadow w:val="0"/>
        </w:rPr>
        <w:t xml:space="preserve"> </w:t>
      </w:r>
      <w:proofErr w:type="gramStart"/>
      <w:r w:rsidRPr="00451CE0">
        <w:rPr>
          <w:shadow w:val="0"/>
        </w:rPr>
        <w:t>de</w:t>
      </w:r>
      <w:proofErr w:type="gramEnd"/>
      <w:r w:rsidRPr="00451CE0">
        <w:rPr>
          <w:shadow w:val="0"/>
        </w:rPr>
        <w:t xml:space="preserve"> Sidi </w:t>
      </w:r>
      <w:proofErr w:type="spellStart"/>
      <w:r w:rsidRPr="00451CE0">
        <w:rPr>
          <w:shadow w:val="0"/>
        </w:rPr>
        <w:t>Thabet</w:t>
      </w:r>
      <w:proofErr w:type="spellEnd"/>
    </w:p>
    <w:p w:rsidR="00374D88" w:rsidRPr="00D6349C" w:rsidRDefault="00374D88" w:rsidP="00374D88">
      <w:pPr>
        <w:bidi w:val="0"/>
        <w:jc w:val="center"/>
        <w:rPr>
          <w:b/>
          <w:bCs/>
          <w:caps/>
          <w:sz w:val="24"/>
          <w:lang w:val="fr-FR"/>
        </w:rPr>
      </w:pPr>
      <w:r>
        <w:rPr>
          <w:b/>
          <w:bCs/>
          <w:sz w:val="24"/>
          <w:lang w:val="fr-FR"/>
        </w:rPr>
        <w:t>(Un projet financé par La Banque Européenne D’investissement : Prêt N° 23060)</w:t>
      </w:r>
    </w:p>
    <w:p w:rsidR="00374D88" w:rsidRPr="00DC1410" w:rsidRDefault="00374D88" w:rsidP="00374D88">
      <w:pPr>
        <w:tabs>
          <w:tab w:val="left" w:pos="2433"/>
        </w:tabs>
        <w:bidi w:val="0"/>
        <w:rPr>
          <w:rFonts w:ascii="Bedini" w:hAnsi="Bedini"/>
          <w:lang w:val="fr-FR"/>
        </w:rPr>
      </w:pPr>
      <w:r w:rsidRPr="00DC1410">
        <w:rPr>
          <w:rFonts w:ascii="Bedini" w:hAnsi="Bedini"/>
          <w:lang w:val="fr-FR"/>
        </w:rPr>
        <w:tab/>
      </w:r>
    </w:p>
    <w:p w:rsidR="00374D88" w:rsidRDefault="00374D88" w:rsidP="00374D88">
      <w:pPr>
        <w:jc w:val="both"/>
        <w:rPr>
          <w:sz w:val="32"/>
          <w:szCs w:val="32"/>
          <w:lang w:val="fr-FR"/>
        </w:rPr>
      </w:pPr>
      <w:r w:rsidRPr="00BF34D9">
        <w:rPr>
          <w:sz w:val="32"/>
          <w:szCs w:val="32"/>
          <w:lang w:val="fr-FR"/>
        </w:rPr>
        <w:tab/>
      </w:r>
    </w:p>
    <w:p w:rsidR="00374D88" w:rsidRPr="00BF34D9" w:rsidRDefault="00374D88" w:rsidP="00374D88">
      <w:pPr>
        <w:jc w:val="both"/>
        <w:rPr>
          <w:sz w:val="32"/>
          <w:szCs w:val="32"/>
          <w:rtl/>
          <w:lang w:val="fr-FR"/>
        </w:rPr>
      </w:pPr>
    </w:p>
    <w:p w:rsidR="00374D88" w:rsidRPr="00BD0835" w:rsidRDefault="00892453" w:rsidP="001058F4">
      <w:pPr>
        <w:pStyle w:val="Titre"/>
        <w:jc w:val="both"/>
        <w:rPr>
          <w:rFonts w:cs="Simplified Arabic"/>
          <w:sz w:val="22"/>
          <w:szCs w:val="22"/>
        </w:rPr>
      </w:pPr>
      <w:r w:rsidRPr="00892453">
        <w:rPr>
          <w:b w:val="0"/>
          <w:bCs w:val="0"/>
          <w:shadow w:val="0"/>
          <w:sz w:val="24"/>
          <w:szCs w:val="24"/>
        </w:rPr>
        <w:t>Le Ministère de l’Enseignement supérieur et de la Recherche scientifique</w:t>
      </w:r>
      <w:r>
        <w:rPr>
          <w:sz w:val="22"/>
          <w:szCs w:val="22"/>
        </w:rPr>
        <w:t xml:space="preserve"> -</w:t>
      </w:r>
      <w:r>
        <w:rPr>
          <w:rFonts w:hint="cs"/>
          <w:sz w:val="22"/>
          <w:szCs w:val="22"/>
          <w:rtl/>
        </w:rPr>
        <w:t xml:space="preserve"> </w:t>
      </w:r>
      <w:r w:rsidR="00374D88" w:rsidRPr="00451CE0">
        <w:rPr>
          <w:b w:val="0"/>
          <w:bCs w:val="0"/>
          <w:shadow w:val="0"/>
          <w:sz w:val="24"/>
          <w:szCs w:val="24"/>
        </w:rPr>
        <w:t xml:space="preserve">Université de La </w:t>
      </w:r>
      <w:proofErr w:type="spellStart"/>
      <w:r w:rsidR="00374D88" w:rsidRPr="00451CE0">
        <w:rPr>
          <w:b w:val="0"/>
          <w:bCs w:val="0"/>
          <w:shadow w:val="0"/>
          <w:sz w:val="24"/>
          <w:szCs w:val="24"/>
        </w:rPr>
        <w:t>Manouba</w:t>
      </w:r>
      <w:proofErr w:type="spellEnd"/>
      <w:r w:rsidR="00374D88" w:rsidRPr="00451CE0">
        <w:rPr>
          <w:b w:val="0"/>
          <w:bCs w:val="0"/>
          <w:shadow w:val="0"/>
          <w:sz w:val="24"/>
          <w:szCs w:val="24"/>
        </w:rPr>
        <w:t xml:space="preserve"> se propose de lancer un Appel d’Offres national pour </w:t>
      </w:r>
      <w:r w:rsidR="00374D88">
        <w:rPr>
          <w:b w:val="0"/>
          <w:bCs w:val="0"/>
          <w:shadow w:val="0"/>
          <w:sz w:val="24"/>
          <w:szCs w:val="24"/>
        </w:rPr>
        <w:t>l’a</w:t>
      </w:r>
      <w:r w:rsidR="00374D88" w:rsidRPr="00451CE0">
        <w:rPr>
          <w:b w:val="0"/>
          <w:bCs w:val="0"/>
          <w:shadow w:val="0"/>
          <w:sz w:val="24"/>
          <w:szCs w:val="24"/>
        </w:rPr>
        <w:t xml:space="preserve">cquisition </w:t>
      </w:r>
      <w:r w:rsidR="00D764B0">
        <w:rPr>
          <w:b w:val="0"/>
          <w:bCs w:val="0"/>
          <w:shadow w:val="0"/>
          <w:sz w:val="24"/>
          <w:szCs w:val="24"/>
        </w:rPr>
        <w:t>d’un bus au profit de</w:t>
      </w:r>
      <w:r w:rsidR="001058F4">
        <w:rPr>
          <w:b w:val="0"/>
          <w:bCs w:val="0"/>
          <w:shadow w:val="0"/>
          <w:sz w:val="24"/>
          <w:szCs w:val="24"/>
        </w:rPr>
        <w:t xml:space="preserve"> </w:t>
      </w:r>
      <w:r w:rsidR="00374D88" w:rsidRPr="00451CE0">
        <w:rPr>
          <w:b w:val="0"/>
          <w:bCs w:val="0"/>
          <w:shadow w:val="0"/>
          <w:sz w:val="24"/>
          <w:szCs w:val="24"/>
        </w:rPr>
        <w:t xml:space="preserve">l’Institut Supérieur de Biotechnologie de Sidi </w:t>
      </w:r>
      <w:proofErr w:type="spellStart"/>
      <w:r w:rsidR="00374D88" w:rsidRPr="00451CE0">
        <w:rPr>
          <w:b w:val="0"/>
          <w:bCs w:val="0"/>
          <w:shadow w:val="0"/>
          <w:sz w:val="24"/>
          <w:szCs w:val="24"/>
        </w:rPr>
        <w:t>Thabet</w:t>
      </w:r>
      <w:proofErr w:type="spellEnd"/>
      <w:r w:rsidR="00374D88">
        <w:rPr>
          <w:b w:val="0"/>
          <w:bCs w:val="0"/>
          <w:shadow w:val="0"/>
          <w:sz w:val="24"/>
          <w:szCs w:val="24"/>
        </w:rPr>
        <w:t xml:space="preserve">. </w:t>
      </w:r>
      <w:r w:rsidR="00374D88" w:rsidRPr="00451CE0">
        <w:rPr>
          <w:b w:val="0"/>
          <w:bCs w:val="0"/>
          <w:shadow w:val="0"/>
          <w:sz w:val="24"/>
          <w:szCs w:val="24"/>
        </w:rPr>
        <w:t xml:space="preserve">Les sociétés spécialisées et intéressées par le présent appel d’offres sont invitées à retirer le dossier d’appel d’offres, mis à leur disposition à la sous Direction des Bâtiments et des Equipements (Campus universitaire de la </w:t>
      </w:r>
      <w:proofErr w:type="spellStart"/>
      <w:r w:rsidR="00374D88" w:rsidRPr="00451CE0">
        <w:rPr>
          <w:b w:val="0"/>
          <w:bCs w:val="0"/>
          <w:shadow w:val="0"/>
          <w:sz w:val="24"/>
          <w:szCs w:val="24"/>
        </w:rPr>
        <w:t>Manouba</w:t>
      </w:r>
      <w:proofErr w:type="spellEnd"/>
      <w:r w:rsidR="00374D88" w:rsidRPr="00451CE0">
        <w:rPr>
          <w:b w:val="0"/>
          <w:bCs w:val="0"/>
          <w:shadow w:val="0"/>
          <w:sz w:val="24"/>
          <w:szCs w:val="24"/>
        </w:rPr>
        <w:t xml:space="preserve">) durant l’horaire administratif, moyennant le paiement préalable </w:t>
      </w:r>
      <w:r w:rsidR="00374D88" w:rsidRPr="004408DA">
        <w:rPr>
          <w:b w:val="0"/>
          <w:bCs w:val="0"/>
          <w:shadow w:val="0"/>
          <w:sz w:val="24"/>
          <w:szCs w:val="24"/>
        </w:rPr>
        <w:t>de cinquante</w:t>
      </w:r>
      <w:r w:rsidR="00374D88" w:rsidRPr="005803EB">
        <w:rPr>
          <w:b w:val="0"/>
          <w:bCs w:val="0"/>
          <w:shadow w:val="0"/>
          <w:color w:val="FF0000"/>
          <w:sz w:val="24"/>
          <w:szCs w:val="24"/>
        </w:rPr>
        <w:t xml:space="preserve"> </w:t>
      </w:r>
      <w:r w:rsidR="00374D88" w:rsidRPr="004408DA">
        <w:rPr>
          <w:b w:val="0"/>
          <w:bCs w:val="0"/>
          <w:shadow w:val="0"/>
          <w:sz w:val="24"/>
          <w:szCs w:val="24"/>
        </w:rPr>
        <w:t>Dinars Tunisiens (50 DT</w:t>
      </w:r>
      <w:r w:rsidR="00374D88" w:rsidRPr="00451CE0">
        <w:rPr>
          <w:b w:val="0"/>
          <w:bCs w:val="0"/>
          <w:shadow w:val="0"/>
          <w:sz w:val="24"/>
          <w:szCs w:val="24"/>
        </w:rPr>
        <w:t xml:space="preserve">) au nom de l’agent comptable de l’Université de la </w:t>
      </w:r>
      <w:proofErr w:type="spellStart"/>
      <w:r w:rsidR="00374D88" w:rsidRPr="00451CE0">
        <w:rPr>
          <w:b w:val="0"/>
          <w:bCs w:val="0"/>
          <w:shadow w:val="0"/>
          <w:sz w:val="24"/>
          <w:szCs w:val="24"/>
        </w:rPr>
        <w:t>Manouba</w:t>
      </w:r>
      <w:proofErr w:type="spellEnd"/>
      <w:r w:rsidR="00374D88" w:rsidRPr="00451CE0">
        <w:rPr>
          <w:b w:val="0"/>
          <w:bCs w:val="0"/>
          <w:shadow w:val="0"/>
          <w:sz w:val="24"/>
          <w:szCs w:val="24"/>
        </w:rPr>
        <w:t xml:space="preserve"> (par émission d’un mandat, C.C.P n° </w:t>
      </w:r>
      <w:r w:rsidR="00374D88" w:rsidRPr="00451CE0">
        <w:rPr>
          <w:rFonts w:hint="cs"/>
          <w:b w:val="0"/>
          <w:bCs w:val="0"/>
          <w:shadow w:val="0"/>
          <w:sz w:val="24"/>
          <w:szCs w:val="24"/>
          <w:rtl/>
        </w:rPr>
        <w:t>62725</w:t>
      </w:r>
      <w:r w:rsidR="00374D88" w:rsidRPr="00451CE0">
        <w:rPr>
          <w:b w:val="0"/>
          <w:bCs w:val="0"/>
          <w:shadow w:val="0"/>
          <w:sz w:val="24"/>
          <w:szCs w:val="24"/>
        </w:rPr>
        <w:t>)</w:t>
      </w:r>
      <w:r w:rsidR="00374D88">
        <w:rPr>
          <w:b w:val="0"/>
          <w:bCs w:val="0"/>
          <w:shadow w:val="0"/>
          <w:sz w:val="24"/>
          <w:szCs w:val="24"/>
        </w:rPr>
        <w:t>,</w:t>
      </w:r>
      <w:r w:rsidR="00374D88" w:rsidRPr="00BD0835">
        <w:rPr>
          <w:b w:val="0"/>
          <w:bCs w:val="0"/>
          <w:shadow w:val="0"/>
          <w:sz w:val="24"/>
          <w:szCs w:val="24"/>
        </w:rPr>
        <w:t xml:space="preserve">ou à télécharger le cahier des charges à partir du site officiel de l’Université de la </w:t>
      </w:r>
      <w:proofErr w:type="spellStart"/>
      <w:r w:rsidR="00374D88" w:rsidRPr="00BD0835">
        <w:rPr>
          <w:b w:val="0"/>
          <w:bCs w:val="0"/>
          <w:shadow w:val="0"/>
          <w:sz w:val="24"/>
          <w:szCs w:val="24"/>
        </w:rPr>
        <w:t>Manouba</w:t>
      </w:r>
      <w:proofErr w:type="spellEnd"/>
      <w:r w:rsidR="00374D88">
        <w:rPr>
          <w:b w:val="0"/>
          <w:bCs w:val="0"/>
          <w:shadow w:val="0"/>
          <w:sz w:val="24"/>
          <w:szCs w:val="24"/>
        </w:rPr>
        <w:t xml:space="preserve"> </w:t>
      </w:r>
      <w:hyperlink r:id="rId5" w:history="1">
        <w:r w:rsidR="00374D88" w:rsidRPr="00BD0835">
          <w:rPr>
            <w:b w:val="0"/>
            <w:bCs w:val="0"/>
            <w:shadow w:val="0"/>
            <w:sz w:val="24"/>
            <w:szCs w:val="24"/>
          </w:rPr>
          <w:t>www.uma.rnu.tn</w:t>
        </w:r>
      </w:hyperlink>
      <w:r w:rsidR="00374D88" w:rsidRPr="00BD0835">
        <w:rPr>
          <w:b w:val="0"/>
          <w:bCs w:val="0"/>
          <w:shadow w:val="0"/>
          <w:sz w:val="24"/>
          <w:szCs w:val="24"/>
        </w:rPr>
        <w:t>, mais dans le second cas il est indispensable d’apporter le quitus de payement des frais du cahier de</w:t>
      </w:r>
      <w:r w:rsidR="001032D6">
        <w:rPr>
          <w:b w:val="0"/>
          <w:bCs w:val="0"/>
          <w:shadow w:val="0"/>
          <w:sz w:val="24"/>
          <w:szCs w:val="24"/>
        </w:rPr>
        <w:t>s</w:t>
      </w:r>
      <w:r w:rsidR="00374D88" w:rsidRPr="00BD0835">
        <w:rPr>
          <w:b w:val="0"/>
          <w:bCs w:val="0"/>
          <w:shadow w:val="0"/>
          <w:sz w:val="24"/>
          <w:szCs w:val="24"/>
        </w:rPr>
        <w:t xml:space="preserve"> charge</w:t>
      </w:r>
      <w:r w:rsidR="001032D6">
        <w:rPr>
          <w:b w:val="0"/>
          <w:bCs w:val="0"/>
          <w:shadow w:val="0"/>
          <w:sz w:val="24"/>
          <w:szCs w:val="24"/>
        </w:rPr>
        <w:t>s</w:t>
      </w:r>
      <w:r w:rsidR="00374D88" w:rsidRPr="00BD0835">
        <w:rPr>
          <w:rFonts w:cs="Simplified Arabic"/>
          <w:sz w:val="22"/>
          <w:szCs w:val="22"/>
        </w:rPr>
        <w:t>.</w:t>
      </w:r>
    </w:p>
    <w:p w:rsidR="00374D88" w:rsidRDefault="00374D88" w:rsidP="00374D88">
      <w:pPr>
        <w:pStyle w:val="Titre"/>
        <w:jc w:val="both"/>
        <w:rPr>
          <w:rFonts w:cs="Simplified Arabic"/>
          <w:sz w:val="22"/>
          <w:szCs w:val="22"/>
        </w:rPr>
      </w:pPr>
    </w:p>
    <w:p w:rsidR="00374D88" w:rsidRPr="00903712" w:rsidRDefault="00374D88" w:rsidP="00374D88">
      <w:pPr>
        <w:pStyle w:val="Titre"/>
        <w:jc w:val="both"/>
        <w:rPr>
          <w:b w:val="0"/>
          <w:bCs w:val="0"/>
          <w:shadow w:val="0"/>
          <w:sz w:val="24"/>
          <w:szCs w:val="24"/>
        </w:rPr>
      </w:pPr>
      <w:r w:rsidRPr="00903712">
        <w:rPr>
          <w:b w:val="0"/>
          <w:bCs w:val="0"/>
          <w:shadow w:val="0"/>
          <w:sz w:val="24"/>
          <w:szCs w:val="24"/>
        </w:rPr>
        <w:t>La soumission est constituée de l’offre technique et de l’offre financière </w:t>
      </w:r>
    </w:p>
    <w:p w:rsidR="00374D88" w:rsidRPr="00451CE0" w:rsidRDefault="00374D88" w:rsidP="00374D88">
      <w:pPr>
        <w:pStyle w:val="Titre"/>
        <w:jc w:val="both"/>
        <w:rPr>
          <w:b w:val="0"/>
          <w:bCs w:val="0"/>
          <w:shadow w:val="0"/>
          <w:sz w:val="24"/>
          <w:szCs w:val="24"/>
        </w:rPr>
      </w:pPr>
      <w:r w:rsidRPr="00903712">
        <w:rPr>
          <w:b w:val="0"/>
          <w:bCs w:val="0"/>
          <w:shadow w:val="0"/>
          <w:sz w:val="24"/>
          <w:szCs w:val="24"/>
        </w:rPr>
        <w:t xml:space="preserve">Les offres doivent parvenir directement au bureau d’ordre de  l’Université de la </w:t>
      </w:r>
      <w:proofErr w:type="spellStart"/>
      <w:r w:rsidRPr="00903712">
        <w:rPr>
          <w:b w:val="0"/>
          <w:bCs w:val="0"/>
          <w:shadow w:val="0"/>
          <w:sz w:val="24"/>
          <w:szCs w:val="24"/>
        </w:rPr>
        <w:t>Manouba</w:t>
      </w:r>
      <w:proofErr w:type="spellEnd"/>
      <w:r w:rsidRPr="00903712">
        <w:rPr>
          <w:b w:val="0"/>
          <w:bCs w:val="0"/>
          <w:shadow w:val="0"/>
          <w:sz w:val="24"/>
          <w:szCs w:val="24"/>
        </w:rPr>
        <w:t xml:space="preserve">, ou par voie postale ou par rapide poste, adressée au nom de Monsieur le président de l’Université de la </w:t>
      </w:r>
      <w:proofErr w:type="spellStart"/>
      <w:r w:rsidRPr="00903712">
        <w:rPr>
          <w:b w:val="0"/>
          <w:bCs w:val="0"/>
          <w:shadow w:val="0"/>
          <w:sz w:val="24"/>
          <w:szCs w:val="24"/>
        </w:rPr>
        <w:t>Manouba</w:t>
      </w:r>
      <w:proofErr w:type="spellEnd"/>
      <w:r w:rsidRPr="00903712">
        <w:rPr>
          <w:b w:val="0"/>
          <w:bCs w:val="0"/>
          <w:shadow w:val="0"/>
          <w:sz w:val="24"/>
          <w:szCs w:val="24"/>
        </w:rPr>
        <w:t>, à l’adresse suivant</w:t>
      </w:r>
      <w:r>
        <w:rPr>
          <w:b w:val="0"/>
          <w:bCs w:val="0"/>
          <w:shadow w:val="0"/>
          <w:sz w:val="24"/>
          <w:szCs w:val="24"/>
        </w:rPr>
        <w:t> :</w:t>
      </w:r>
    </w:p>
    <w:p w:rsidR="00374D88" w:rsidRPr="00BD0835" w:rsidRDefault="00374D88" w:rsidP="00374D88">
      <w:pPr>
        <w:bidi w:val="0"/>
        <w:ind w:left="-180" w:firstLine="567"/>
        <w:jc w:val="center"/>
        <w:rPr>
          <w:lang w:val="fr-FR"/>
        </w:rPr>
      </w:pPr>
      <w:r w:rsidRPr="00BD0835">
        <w:rPr>
          <w:b/>
          <w:bCs/>
          <w:sz w:val="28"/>
          <w:szCs w:val="28"/>
          <w:lang w:val="fr-FR"/>
        </w:rPr>
        <w:t xml:space="preserve">Campus Universitaire de la </w:t>
      </w:r>
      <w:proofErr w:type="spellStart"/>
      <w:r w:rsidRPr="00BD0835">
        <w:rPr>
          <w:b/>
          <w:bCs/>
          <w:sz w:val="28"/>
          <w:szCs w:val="28"/>
          <w:lang w:val="fr-FR"/>
        </w:rPr>
        <w:t>Manouba</w:t>
      </w:r>
      <w:proofErr w:type="spellEnd"/>
      <w:r w:rsidRPr="00BD0835">
        <w:rPr>
          <w:b/>
          <w:bCs/>
          <w:sz w:val="28"/>
          <w:szCs w:val="28"/>
          <w:lang w:val="fr-FR"/>
        </w:rPr>
        <w:t xml:space="preserve"> – 2010 La </w:t>
      </w:r>
      <w:proofErr w:type="spellStart"/>
      <w:r w:rsidRPr="00BD0835">
        <w:rPr>
          <w:b/>
          <w:bCs/>
          <w:sz w:val="28"/>
          <w:szCs w:val="28"/>
          <w:lang w:val="fr-FR"/>
        </w:rPr>
        <w:t>Manouba</w:t>
      </w:r>
      <w:proofErr w:type="spellEnd"/>
    </w:p>
    <w:p w:rsidR="00374D88" w:rsidRPr="004408DA" w:rsidRDefault="00374D88" w:rsidP="00F300DB">
      <w:pPr>
        <w:bidi w:val="0"/>
        <w:ind w:left="-180"/>
        <w:jc w:val="both"/>
        <w:rPr>
          <w:rFonts w:cs="Simplified Arabic"/>
          <w:color w:val="FF0000"/>
          <w:sz w:val="22"/>
          <w:szCs w:val="22"/>
          <w:lang w:val="fr-FR"/>
        </w:rPr>
      </w:pPr>
      <w:r w:rsidRPr="00BD0835">
        <w:rPr>
          <w:rFonts w:cs="Simplified Arabic"/>
          <w:sz w:val="22"/>
          <w:szCs w:val="22"/>
          <w:lang w:val="fr-FR"/>
        </w:rPr>
        <w:t xml:space="preserve"> </w:t>
      </w:r>
      <w:proofErr w:type="gramStart"/>
      <w:r w:rsidRPr="00BD0835">
        <w:rPr>
          <w:rFonts w:cs="Simplified Arabic"/>
          <w:sz w:val="22"/>
          <w:szCs w:val="22"/>
          <w:lang w:val="fr-FR"/>
        </w:rPr>
        <w:t>au</w:t>
      </w:r>
      <w:proofErr w:type="gramEnd"/>
      <w:r w:rsidRPr="00BD0835">
        <w:rPr>
          <w:rFonts w:cs="Simplified Arabic"/>
          <w:sz w:val="22"/>
          <w:szCs w:val="22"/>
          <w:lang w:val="fr-FR"/>
        </w:rPr>
        <w:t xml:space="preserve"> plus tard </w:t>
      </w:r>
      <w:r w:rsidRPr="00F300DB">
        <w:rPr>
          <w:rFonts w:cs="Simplified Arabic"/>
          <w:sz w:val="22"/>
          <w:szCs w:val="22"/>
          <w:u w:val="single"/>
          <w:lang w:val="fr-FR"/>
        </w:rPr>
        <w:t xml:space="preserve">le </w:t>
      </w:r>
      <w:r w:rsidR="00DC1410" w:rsidRPr="00F300DB">
        <w:rPr>
          <w:rFonts w:cs="Simplified Arabic"/>
          <w:sz w:val="22"/>
          <w:szCs w:val="22"/>
          <w:u w:val="single"/>
          <w:lang w:val="fr-FR"/>
        </w:rPr>
        <w:t xml:space="preserve"> </w:t>
      </w:r>
      <w:r w:rsidR="003806FD" w:rsidRPr="00F300DB">
        <w:rPr>
          <w:rFonts w:cs="Simplified Arabic"/>
          <w:b/>
          <w:bCs/>
          <w:sz w:val="22"/>
          <w:szCs w:val="22"/>
          <w:u w:val="single"/>
          <w:lang w:val="fr-FR"/>
        </w:rPr>
        <w:t>2</w:t>
      </w:r>
      <w:r w:rsidR="00F300DB" w:rsidRPr="00F300DB">
        <w:rPr>
          <w:rFonts w:cs="Simplified Arabic"/>
          <w:b/>
          <w:bCs/>
          <w:sz w:val="22"/>
          <w:szCs w:val="22"/>
          <w:u w:val="single"/>
          <w:lang w:val="fr-FR"/>
        </w:rPr>
        <w:t>9</w:t>
      </w:r>
      <w:r w:rsidR="00DC1410" w:rsidRPr="00F300DB">
        <w:rPr>
          <w:rFonts w:cs="Simplified Arabic"/>
          <w:b/>
          <w:bCs/>
          <w:sz w:val="22"/>
          <w:szCs w:val="22"/>
          <w:u w:val="single"/>
          <w:lang w:val="fr-FR"/>
        </w:rPr>
        <w:t xml:space="preserve"> Novembre 2012</w:t>
      </w:r>
      <w:r w:rsidR="00DC1410">
        <w:rPr>
          <w:rFonts w:cs="Simplified Arabic"/>
          <w:sz w:val="22"/>
          <w:szCs w:val="22"/>
          <w:lang w:val="fr-FR"/>
        </w:rPr>
        <w:t xml:space="preserve"> </w:t>
      </w:r>
      <w:r w:rsidRPr="00BD0835">
        <w:rPr>
          <w:rFonts w:cs="Simplified Arabic"/>
          <w:sz w:val="22"/>
          <w:szCs w:val="22"/>
          <w:lang w:val="fr-FR"/>
        </w:rPr>
        <w:t>(Le cachet du bureau d’ordre de l’Université faisant foi</w:t>
      </w:r>
      <w:r w:rsidRPr="00BD0835">
        <w:rPr>
          <w:sz w:val="28"/>
          <w:szCs w:val="28"/>
          <w:lang w:val="fr-FR"/>
        </w:rPr>
        <w:t>).</w:t>
      </w:r>
    </w:p>
    <w:p w:rsidR="00374D88" w:rsidRPr="00BD0835" w:rsidRDefault="00374D88" w:rsidP="00374D88">
      <w:pPr>
        <w:bidi w:val="0"/>
        <w:ind w:left="-180" w:firstLine="567"/>
        <w:jc w:val="both"/>
        <w:rPr>
          <w:rFonts w:cs="Simplified Arabic"/>
          <w:sz w:val="22"/>
          <w:szCs w:val="22"/>
          <w:lang w:val="fr-FR"/>
        </w:rPr>
      </w:pPr>
      <w:r w:rsidRPr="00BD0835">
        <w:rPr>
          <w:rFonts w:cs="Simplified Arabic"/>
          <w:sz w:val="22"/>
          <w:szCs w:val="22"/>
          <w:lang w:val="fr-FR"/>
        </w:rPr>
        <w:t>Cette offre doit contenir l’offre technique ainsi que l’offre financière dans deux enveloppes séparées, jointes aux documents administratifs, le tout est mis dans une enveloppe extérieure.</w:t>
      </w:r>
    </w:p>
    <w:p w:rsidR="00374D88" w:rsidRPr="00BD0835" w:rsidRDefault="00374D88" w:rsidP="00374D88">
      <w:pPr>
        <w:bidi w:val="0"/>
        <w:ind w:left="-180" w:firstLine="708"/>
        <w:jc w:val="both"/>
        <w:rPr>
          <w:rFonts w:cs="Simplified Arabic"/>
          <w:sz w:val="22"/>
          <w:szCs w:val="22"/>
          <w:lang w:val="fr-FR"/>
        </w:rPr>
      </w:pPr>
      <w:r w:rsidRPr="00BD0835">
        <w:rPr>
          <w:sz w:val="22"/>
          <w:szCs w:val="22"/>
          <w:lang w:val="fr-FR"/>
        </w:rPr>
        <w:t xml:space="preserve">Les offres doivent obligatoirement être présentées </w:t>
      </w:r>
      <w:r w:rsidRPr="00BD0835">
        <w:rPr>
          <w:rFonts w:cs="Simplified Arabic"/>
          <w:sz w:val="22"/>
          <w:szCs w:val="22"/>
          <w:lang w:val="fr-FR"/>
        </w:rPr>
        <w:t>dans l’enveloppe qui doit porter la mention :</w:t>
      </w:r>
    </w:p>
    <w:p w:rsidR="00374D88" w:rsidRPr="002944C3" w:rsidRDefault="00374D88" w:rsidP="00374D88">
      <w:pPr>
        <w:bidi w:val="0"/>
        <w:ind w:firstLine="708"/>
        <w:jc w:val="both"/>
        <w:rPr>
          <w:szCs w:val="20"/>
          <w:lang w:val="fr-FR"/>
        </w:rPr>
      </w:pPr>
    </w:p>
    <w:p w:rsidR="00374D88" w:rsidRDefault="00D764B0" w:rsidP="000F437C">
      <w:pPr>
        <w:pStyle w:val="Titre"/>
        <w:rPr>
          <w:bCs w:val="0"/>
          <w:shadow w:val="0"/>
          <w:sz w:val="24"/>
        </w:rPr>
      </w:pPr>
      <w:r>
        <w:rPr>
          <w:bCs w:val="0"/>
          <w:shadow w:val="0"/>
          <w:sz w:val="24"/>
        </w:rPr>
        <w:t>«A ne pas ouvrir - Appel d’O</w:t>
      </w:r>
      <w:r w:rsidR="00374D88" w:rsidRPr="0010525F">
        <w:rPr>
          <w:bCs w:val="0"/>
          <w:shadow w:val="0"/>
          <w:sz w:val="24"/>
        </w:rPr>
        <w:t>ffres</w:t>
      </w:r>
      <w:r>
        <w:rPr>
          <w:bCs w:val="0"/>
          <w:shadow w:val="0"/>
          <w:sz w:val="24"/>
        </w:rPr>
        <w:t xml:space="preserve"> N</w:t>
      </w:r>
      <w:r w:rsidR="00374D88">
        <w:rPr>
          <w:bCs w:val="0"/>
          <w:shadow w:val="0"/>
          <w:sz w:val="24"/>
        </w:rPr>
        <w:t>ational</w:t>
      </w:r>
      <w:r w:rsidR="00374D88" w:rsidRPr="0010525F">
        <w:rPr>
          <w:bCs w:val="0"/>
          <w:shadow w:val="0"/>
          <w:sz w:val="24"/>
        </w:rPr>
        <w:t xml:space="preserve"> n°</w:t>
      </w:r>
      <w:r w:rsidR="004408DA">
        <w:rPr>
          <w:bCs w:val="0"/>
          <w:shadow w:val="0"/>
          <w:sz w:val="24"/>
        </w:rPr>
        <w:t>0</w:t>
      </w:r>
      <w:r w:rsidR="000F437C">
        <w:rPr>
          <w:bCs w:val="0"/>
          <w:shadow w:val="0"/>
          <w:sz w:val="24"/>
        </w:rPr>
        <w:t>6</w:t>
      </w:r>
      <w:r w:rsidR="00374D88" w:rsidRPr="0010525F">
        <w:rPr>
          <w:bCs w:val="0"/>
          <w:shadow w:val="0"/>
          <w:sz w:val="24"/>
        </w:rPr>
        <w:t>/</w:t>
      </w:r>
      <w:r w:rsidR="00374D88">
        <w:rPr>
          <w:bCs w:val="0"/>
          <w:shadow w:val="0"/>
          <w:sz w:val="24"/>
        </w:rPr>
        <w:t>2012</w:t>
      </w:r>
      <w:r w:rsidR="00374D88" w:rsidRPr="0010525F">
        <w:rPr>
          <w:bCs w:val="0"/>
          <w:shadow w:val="0"/>
          <w:sz w:val="24"/>
        </w:rPr>
        <w:t xml:space="preserve">: </w:t>
      </w:r>
    </w:p>
    <w:p w:rsidR="00D764B0" w:rsidRDefault="00374D88" w:rsidP="00D764B0">
      <w:pPr>
        <w:pStyle w:val="Titre"/>
        <w:rPr>
          <w:bCs w:val="0"/>
          <w:shadow w:val="0"/>
          <w:sz w:val="24"/>
        </w:rPr>
      </w:pPr>
      <w:r w:rsidRPr="002768DE">
        <w:rPr>
          <w:bCs w:val="0"/>
          <w:shadow w:val="0"/>
          <w:sz w:val="24"/>
        </w:rPr>
        <w:t>Acqu</w:t>
      </w:r>
      <w:r w:rsidR="00B422D4">
        <w:rPr>
          <w:bCs w:val="0"/>
          <w:shadow w:val="0"/>
          <w:sz w:val="24"/>
        </w:rPr>
        <w:t>isition</w:t>
      </w:r>
      <w:r w:rsidR="000C5165">
        <w:rPr>
          <w:bCs w:val="0"/>
          <w:shadow w:val="0"/>
          <w:sz w:val="24"/>
        </w:rPr>
        <w:t xml:space="preserve"> d’</w:t>
      </w:r>
      <w:r>
        <w:rPr>
          <w:bCs w:val="0"/>
          <w:shadow w:val="0"/>
          <w:sz w:val="24"/>
        </w:rPr>
        <w:t>un bus</w:t>
      </w:r>
      <w:r w:rsidR="00D764B0">
        <w:rPr>
          <w:bCs w:val="0"/>
          <w:shadow w:val="0"/>
          <w:sz w:val="24"/>
        </w:rPr>
        <w:t xml:space="preserve"> au profit </w:t>
      </w:r>
      <w:r w:rsidRPr="002768DE">
        <w:rPr>
          <w:bCs w:val="0"/>
          <w:shadow w:val="0"/>
          <w:sz w:val="24"/>
        </w:rPr>
        <w:t xml:space="preserve">de l’Institut Supérieur de Biotechnologie </w:t>
      </w:r>
    </w:p>
    <w:p w:rsidR="00374D88" w:rsidRDefault="00374D88" w:rsidP="00D764B0">
      <w:pPr>
        <w:pStyle w:val="Titre"/>
        <w:rPr>
          <w:bCs w:val="0"/>
          <w:shadow w:val="0"/>
          <w:sz w:val="24"/>
        </w:rPr>
      </w:pPr>
      <w:r w:rsidRPr="002768DE">
        <w:rPr>
          <w:bCs w:val="0"/>
          <w:shadow w:val="0"/>
          <w:sz w:val="24"/>
        </w:rPr>
        <w:t>de Sidi Thabet</w:t>
      </w:r>
      <w:r w:rsidRPr="0010525F">
        <w:rPr>
          <w:bCs w:val="0"/>
          <w:shadow w:val="0"/>
          <w:sz w:val="24"/>
        </w:rPr>
        <w:t>»</w:t>
      </w:r>
    </w:p>
    <w:p w:rsidR="00374D88" w:rsidRDefault="00374D88" w:rsidP="00374D88">
      <w:pPr>
        <w:bidi w:val="0"/>
        <w:ind w:left="-180" w:firstLine="708"/>
        <w:jc w:val="both"/>
        <w:rPr>
          <w:rFonts w:cs="Simplified Arabic"/>
          <w:sz w:val="22"/>
          <w:szCs w:val="22"/>
          <w:lang w:val="fr-FR"/>
        </w:rPr>
      </w:pPr>
      <w:r w:rsidRPr="00BD0835">
        <w:rPr>
          <w:rFonts w:cs="Simplified Arabic"/>
          <w:sz w:val="22"/>
          <w:szCs w:val="22"/>
          <w:lang w:val="fr-FR"/>
        </w:rPr>
        <w:t>Et contenir les pièces ci-dessous indiquées :</w:t>
      </w:r>
    </w:p>
    <w:p w:rsidR="00374D88" w:rsidRPr="00BD0835" w:rsidRDefault="00374D88" w:rsidP="00374D88">
      <w:pPr>
        <w:bidi w:val="0"/>
        <w:ind w:left="-180" w:firstLine="708"/>
        <w:jc w:val="both"/>
        <w:rPr>
          <w:rFonts w:cs="Simplified Arabic"/>
          <w:sz w:val="22"/>
          <w:szCs w:val="22"/>
          <w:lang w:val="fr-FR"/>
        </w:rPr>
      </w:pPr>
    </w:p>
    <w:p w:rsidR="001058F4" w:rsidRDefault="001058F4" w:rsidP="00C274DF">
      <w:pPr>
        <w:pStyle w:val="Retraitcorpsdetexte2"/>
        <w:numPr>
          <w:ilvl w:val="0"/>
          <w:numId w:val="2"/>
        </w:numPr>
        <w:rPr>
          <w:sz w:val="22"/>
          <w:szCs w:val="22"/>
        </w:rPr>
      </w:pPr>
      <w:r w:rsidRPr="008E4E31">
        <w:rPr>
          <w:sz w:val="22"/>
          <w:szCs w:val="22"/>
        </w:rPr>
        <w:t xml:space="preserve">Fiche de renseignement sur le soumissionnaire (selon le modèle joint en annexes). </w:t>
      </w:r>
    </w:p>
    <w:p w:rsidR="001058F4" w:rsidRPr="00DF7852" w:rsidRDefault="001058F4" w:rsidP="001058F4">
      <w:pPr>
        <w:pStyle w:val="Retraitcorpsdetexte2"/>
        <w:numPr>
          <w:ilvl w:val="0"/>
          <w:numId w:val="2"/>
        </w:numPr>
        <w:rPr>
          <w:sz w:val="22"/>
          <w:szCs w:val="22"/>
        </w:rPr>
      </w:pPr>
      <w:r w:rsidRPr="00DF7852">
        <w:rPr>
          <w:sz w:val="22"/>
          <w:szCs w:val="22"/>
        </w:rPr>
        <w:t>L’original du cautionnement provisoire d’un</w:t>
      </w:r>
      <w:r>
        <w:rPr>
          <w:sz w:val="22"/>
          <w:szCs w:val="22"/>
        </w:rPr>
        <w:t xml:space="preserve"> montant de 3000 DT au profit du MESRS (Ministère de l’Enseignement Supérieur et de la Recherche Scientifique)</w:t>
      </w:r>
      <w:r w:rsidRPr="00DF7852">
        <w:rPr>
          <w:sz w:val="22"/>
          <w:szCs w:val="22"/>
        </w:rPr>
        <w:t>. Ce cautionnement doit rester valable pendant une durée de cent-vingt (120) jours à compter du jour suivant la date limite fixée pour la réception des plis contenant l’offre.</w:t>
      </w:r>
    </w:p>
    <w:p w:rsidR="001058F4" w:rsidRDefault="001058F4" w:rsidP="001058F4">
      <w:pPr>
        <w:pStyle w:val="Retraitcorpsdetexte2"/>
        <w:numPr>
          <w:ilvl w:val="0"/>
          <w:numId w:val="2"/>
        </w:numPr>
        <w:rPr>
          <w:sz w:val="22"/>
          <w:szCs w:val="22"/>
        </w:rPr>
      </w:pPr>
      <w:r>
        <w:rPr>
          <w:sz w:val="22"/>
          <w:szCs w:val="22"/>
        </w:rPr>
        <w:t>Le cahier des clauses administratives particulières paraphé</w:t>
      </w:r>
      <w:r>
        <w:rPr>
          <w:rFonts w:hint="cs"/>
          <w:sz w:val="22"/>
          <w:szCs w:val="22"/>
          <w:rtl/>
          <w:lang w:val="fr-MA"/>
        </w:rPr>
        <w:t xml:space="preserve"> </w:t>
      </w:r>
      <w:r>
        <w:rPr>
          <w:sz w:val="22"/>
          <w:szCs w:val="22"/>
        </w:rPr>
        <w:t>sur toutes les pages et dûment signé.</w:t>
      </w:r>
    </w:p>
    <w:p w:rsidR="001058F4" w:rsidRDefault="001058F4" w:rsidP="001058F4">
      <w:pPr>
        <w:pStyle w:val="Retraitcorpsdetexte2"/>
        <w:numPr>
          <w:ilvl w:val="0"/>
          <w:numId w:val="2"/>
        </w:numPr>
        <w:rPr>
          <w:sz w:val="22"/>
          <w:szCs w:val="22"/>
        </w:rPr>
      </w:pPr>
      <w:r>
        <w:rPr>
          <w:sz w:val="22"/>
          <w:szCs w:val="22"/>
        </w:rPr>
        <w:t>Une déclaration sur l’honneur de la part du soumissionnaire certifiant qu’il n’est pas en état de faillite ou de redressement judiciaire (selon le modèle joint en annexes). Les soumissionnaires qui sont en état de redressement amiable sont tenus de présenter une déclaration à cet effet.</w:t>
      </w:r>
    </w:p>
    <w:p w:rsidR="001058F4" w:rsidRDefault="001058F4" w:rsidP="001058F4">
      <w:pPr>
        <w:pStyle w:val="Retraitcorpsdetexte2"/>
        <w:numPr>
          <w:ilvl w:val="0"/>
          <w:numId w:val="2"/>
        </w:numPr>
        <w:rPr>
          <w:sz w:val="22"/>
          <w:szCs w:val="22"/>
        </w:rPr>
      </w:pPr>
      <w:r>
        <w:rPr>
          <w:sz w:val="22"/>
          <w:szCs w:val="22"/>
        </w:rPr>
        <w:t>Une déclaration sur l’honneur de non influence (selon le modèle joint en annexes)</w:t>
      </w:r>
    </w:p>
    <w:p w:rsidR="001058F4" w:rsidRDefault="001058F4" w:rsidP="001058F4">
      <w:pPr>
        <w:pStyle w:val="Retraitcorpsdetexte2"/>
        <w:numPr>
          <w:ilvl w:val="0"/>
          <w:numId w:val="2"/>
        </w:numPr>
        <w:rPr>
          <w:sz w:val="22"/>
          <w:szCs w:val="22"/>
        </w:rPr>
      </w:pPr>
      <w:r>
        <w:rPr>
          <w:sz w:val="22"/>
          <w:szCs w:val="22"/>
        </w:rPr>
        <w:t xml:space="preserve">Une déclaration sur l’honneur que le soumissionnaire n’était pas un agent public au </w:t>
      </w:r>
      <w:r w:rsidRPr="00EF7D29">
        <w:rPr>
          <w:sz w:val="22"/>
          <w:szCs w:val="22"/>
        </w:rPr>
        <w:t xml:space="preserve">sein de l’Université de la </w:t>
      </w:r>
      <w:proofErr w:type="spellStart"/>
      <w:r w:rsidRPr="00EF7D29">
        <w:rPr>
          <w:sz w:val="22"/>
          <w:szCs w:val="22"/>
        </w:rPr>
        <w:t>Manouba</w:t>
      </w:r>
      <w:proofErr w:type="spellEnd"/>
      <w:r w:rsidRPr="00EF7D29">
        <w:rPr>
          <w:sz w:val="22"/>
          <w:szCs w:val="22"/>
        </w:rPr>
        <w:t xml:space="preserve"> durant les cinq dernières années</w:t>
      </w:r>
      <w:r>
        <w:rPr>
          <w:sz w:val="22"/>
          <w:szCs w:val="22"/>
        </w:rPr>
        <w:t xml:space="preserve"> (selon le modèle joint en annexes).</w:t>
      </w:r>
    </w:p>
    <w:p w:rsidR="001058F4" w:rsidRDefault="001058F4" w:rsidP="001058F4">
      <w:pPr>
        <w:pStyle w:val="Retraitcorpsdetexte2"/>
        <w:numPr>
          <w:ilvl w:val="0"/>
          <w:numId w:val="2"/>
        </w:numPr>
        <w:rPr>
          <w:sz w:val="22"/>
          <w:szCs w:val="22"/>
        </w:rPr>
      </w:pPr>
      <w:r>
        <w:rPr>
          <w:sz w:val="22"/>
          <w:szCs w:val="22"/>
        </w:rPr>
        <w:lastRenderedPageBreak/>
        <w:t>Une copie certifiée conforme à l’original du certificat d’affiliation à la CNSS ou l’original de l’attestation de solde valable à la date limite de la réception des offres.</w:t>
      </w:r>
    </w:p>
    <w:p w:rsidR="001058F4" w:rsidRDefault="001058F4" w:rsidP="001058F4">
      <w:pPr>
        <w:pStyle w:val="Retraitcorpsdetexte2"/>
        <w:numPr>
          <w:ilvl w:val="0"/>
          <w:numId w:val="2"/>
        </w:numPr>
        <w:rPr>
          <w:sz w:val="22"/>
          <w:szCs w:val="22"/>
          <w:rtl/>
        </w:rPr>
      </w:pPr>
      <w:r>
        <w:rPr>
          <w:sz w:val="22"/>
          <w:szCs w:val="22"/>
        </w:rPr>
        <w:t>L’original ou une copie certifiée conforme à l’original de l’attestation fiscale certifiant que le soumissionnaire est en règle au regard de la Direction des Impôts valable à la date limite de la réception des offres.</w:t>
      </w:r>
    </w:p>
    <w:p w:rsidR="001058F4" w:rsidRPr="00537389" w:rsidRDefault="001058F4" w:rsidP="001058F4">
      <w:pPr>
        <w:pStyle w:val="Retraitcorpsdetexte2"/>
        <w:numPr>
          <w:ilvl w:val="0"/>
          <w:numId w:val="2"/>
        </w:numPr>
        <w:rPr>
          <w:sz w:val="22"/>
          <w:szCs w:val="22"/>
        </w:rPr>
      </w:pPr>
      <w:r w:rsidRPr="00537389">
        <w:rPr>
          <w:sz w:val="22"/>
          <w:szCs w:val="22"/>
        </w:rPr>
        <w:t>Une copie de l’agrément du concessionnaire.</w:t>
      </w:r>
    </w:p>
    <w:p w:rsidR="001058F4" w:rsidRDefault="001058F4" w:rsidP="001058F4">
      <w:pPr>
        <w:pStyle w:val="Retraitcorpsdetexte2"/>
        <w:jc w:val="center"/>
        <w:rPr>
          <w:sz w:val="22"/>
          <w:szCs w:val="22"/>
        </w:rPr>
      </w:pPr>
    </w:p>
    <w:p w:rsidR="001058F4" w:rsidRPr="004D2F04" w:rsidRDefault="001058F4" w:rsidP="001058F4">
      <w:pPr>
        <w:pStyle w:val="Retraitcorpsdetexte2"/>
        <w:ind w:firstLine="0"/>
        <w:rPr>
          <w:b/>
          <w:bCs/>
          <w:sz w:val="22"/>
          <w:szCs w:val="22"/>
          <w:u w:val="single"/>
        </w:rPr>
      </w:pPr>
      <w:r>
        <w:rPr>
          <w:b/>
          <w:bCs/>
          <w:sz w:val="22"/>
          <w:szCs w:val="22"/>
          <w:u w:val="single"/>
        </w:rPr>
        <w:t>B</w:t>
      </w:r>
      <w:r w:rsidRPr="004D2F04">
        <w:rPr>
          <w:b/>
          <w:bCs/>
          <w:sz w:val="22"/>
          <w:szCs w:val="22"/>
          <w:u w:val="single"/>
        </w:rPr>
        <w:t xml:space="preserve">. L’offre technique contenant : </w:t>
      </w:r>
    </w:p>
    <w:p w:rsidR="001058F4" w:rsidRPr="00C96038" w:rsidRDefault="001058F4" w:rsidP="001058F4">
      <w:pPr>
        <w:pStyle w:val="Retraitcorpsdetexte2"/>
        <w:numPr>
          <w:ilvl w:val="0"/>
          <w:numId w:val="3"/>
        </w:numPr>
        <w:rPr>
          <w:sz w:val="22"/>
          <w:szCs w:val="22"/>
        </w:rPr>
      </w:pPr>
      <w:r w:rsidRPr="00C96038">
        <w:rPr>
          <w:sz w:val="22"/>
          <w:szCs w:val="22"/>
        </w:rPr>
        <w:t>Le cahier des clauses techniques particulières paraphé</w:t>
      </w:r>
      <w:r w:rsidRPr="00C96038">
        <w:rPr>
          <w:rFonts w:hint="cs"/>
          <w:sz w:val="22"/>
          <w:szCs w:val="22"/>
          <w:rtl/>
          <w:lang w:val="fr-MA"/>
        </w:rPr>
        <w:t xml:space="preserve"> </w:t>
      </w:r>
      <w:r w:rsidRPr="00C96038">
        <w:rPr>
          <w:sz w:val="22"/>
          <w:szCs w:val="22"/>
        </w:rPr>
        <w:t>sur toutes les pages et dûment signé.</w:t>
      </w:r>
    </w:p>
    <w:p w:rsidR="001058F4" w:rsidRDefault="001058F4" w:rsidP="001058F4">
      <w:pPr>
        <w:pStyle w:val="Retraitcorpsdetexte2"/>
        <w:numPr>
          <w:ilvl w:val="0"/>
          <w:numId w:val="3"/>
        </w:numPr>
        <w:rPr>
          <w:sz w:val="22"/>
          <w:szCs w:val="22"/>
        </w:rPr>
      </w:pPr>
      <w:r>
        <w:rPr>
          <w:sz w:val="22"/>
          <w:szCs w:val="22"/>
        </w:rPr>
        <w:t>Un engagement écrit concernant le délai global d’exécution (selon le modèle joint en annexes).</w:t>
      </w:r>
    </w:p>
    <w:p w:rsidR="001058F4" w:rsidRDefault="001058F4" w:rsidP="001058F4">
      <w:pPr>
        <w:pStyle w:val="Retraitcorpsdetexte2"/>
        <w:numPr>
          <w:ilvl w:val="0"/>
          <w:numId w:val="3"/>
        </w:numPr>
        <w:rPr>
          <w:sz w:val="22"/>
          <w:szCs w:val="22"/>
        </w:rPr>
      </w:pPr>
      <w:r>
        <w:rPr>
          <w:sz w:val="22"/>
          <w:szCs w:val="22"/>
        </w:rPr>
        <w:t>Un engagement écrit concernant le service après-vente (selon le modèle joint en annexes).</w:t>
      </w:r>
    </w:p>
    <w:p w:rsidR="001058F4" w:rsidRDefault="001058F4" w:rsidP="001058F4">
      <w:pPr>
        <w:pStyle w:val="Retraitcorpsdetexte2"/>
        <w:numPr>
          <w:ilvl w:val="0"/>
          <w:numId w:val="3"/>
        </w:numPr>
        <w:rPr>
          <w:sz w:val="22"/>
          <w:szCs w:val="22"/>
        </w:rPr>
      </w:pPr>
      <w:r w:rsidRPr="003D4FAF">
        <w:rPr>
          <w:sz w:val="22"/>
          <w:szCs w:val="22"/>
        </w:rPr>
        <w:t>Un engagement écrit concernant la fourniture des manuels d’utilisation</w:t>
      </w:r>
      <w:r>
        <w:rPr>
          <w:sz w:val="22"/>
          <w:szCs w:val="22"/>
        </w:rPr>
        <w:t xml:space="preserve"> </w:t>
      </w:r>
      <w:r w:rsidRPr="003D4FAF">
        <w:rPr>
          <w:sz w:val="22"/>
          <w:szCs w:val="22"/>
        </w:rPr>
        <w:t>et les  documents techniques</w:t>
      </w:r>
      <w:r>
        <w:rPr>
          <w:sz w:val="22"/>
          <w:szCs w:val="22"/>
        </w:rPr>
        <w:t xml:space="preserve"> (selon le modèle joint en annexes).</w:t>
      </w:r>
    </w:p>
    <w:p w:rsidR="001058F4" w:rsidRDefault="001058F4" w:rsidP="001058F4">
      <w:pPr>
        <w:pStyle w:val="Retraitcorpsdetexte2"/>
        <w:numPr>
          <w:ilvl w:val="0"/>
          <w:numId w:val="3"/>
        </w:numPr>
        <w:rPr>
          <w:sz w:val="22"/>
          <w:szCs w:val="22"/>
        </w:rPr>
      </w:pPr>
      <w:r>
        <w:rPr>
          <w:sz w:val="22"/>
          <w:szCs w:val="22"/>
        </w:rPr>
        <w:t>Les formulaires de propositions techniques dûment remplis par le soumissionnaire, signés et portant son cachet (selon le modèle joint en annexes).</w:t>
      </w:r>
    </w:p>
    <w:p w:rsidR="001058F4" w:rsidRDefault="001058F4" w:rsidP="001058F4">
      <w:pPr>
        <w:pStyle w:val="Retraitcorpsdetexte2"/>
        <w:numPr>
          <w:ilvl w:val="0"/>
          <w:numId w:val="3"/>
        </w:numPr>
        <w:rPr>
          <w:sz w:val="22"/>
          <w:szCs w:val="22"/>
        </w:rPr>
      </w:pPr>
      <w:r>
        <w:rPr>
          <w:sz w:val="22"/>
          <w:szCs w:val="22"/>
        </w:rPr>
        <w:t xml:space="preserve">La documentation technique (prospectus et brochures) en original relative à l’offre portant obligatoirement le cachet du soumissionnaire. </w:t>
      </w:r>
    </w:p>
    <w:p w:rsidR="000B5293" w:rsidRDefault="000B5293" w:rsidP="001058F4">
      <w:pPr>
        <w:pStyle w:val="Retraitcorpsdetexte2"/>
        <w:numPr>
          <w:ilvl w:val="0"/>
          <w:numId w:val="3"/>
        </w:numPr>
        <w:rPr>
          <w:sz w:val="22"/>
          <w:szCs w:val="22"/>
        </w:rPr>
      </w:pPr>
      <w:r>
        <w:rPr>
          <w:sz w:val="22"/>
          <w:szCs w:val="22"/>
        </w:rPr>
        <w:t>Un certificat ISO 9001 du fabriquant.</w:t>
      </w:r>
    </w:p>
    <w:p w:rsidR="001058F4" w:rsidRDefault="001058F4" w:rsidP="001058F4">
      <w:pPr>
        <w:pStyle w:val="Retraitcorpsdetexte2"/>
        <w:ind w:firstLine="0"/>
        <w:rPr>
          <w:sz w:val="22"/>
          <w:szCs w:val="22"/>
        </w:rPr>
      </w:pPr>
      <w:r w:rsidRPr="00995153">
        <w:rPr>
          <w:sz w:val="22"/>
          <w:szCs w:val="22"/>
        </w:rPr>
        <w:t>L’offre technique</w:t>
      </w:r>
      <w:r>
        <w:rPr>
          <w:b/>
          <w:bCs/>
          <w:sz w:val="22"/>
          <w:szCs w:val="22"/>
        </w:rPr>
        <w:t xml:space="preserve"> </w:t>
      </w:r>
      <w:r>
        <w:rPr>
          <w:sz w:val="22"/>
          <w:szCs w:val="22"/>
        </w:rPr>
        <w:t>doit permettre par les documents fournis (caractéristique</w:t>
      </w:r>
      <w:r w:rsidRPr="00A46DDF">
        <w:rPr>
          <w:sz w:val="22"/>
          <w:szCs w:val="22"/>
        </w:rPr>
        <w:t>s</w:t>
      </w:r>
      <w:r>
        <w:rPr>
          <w:sz w:val="22"/>
          <w:szCs w:val="22"/>
        </w:rPr>
        <w:t>, notes descriptives, catalogues, prospectus) de juger de la valeur technique qualitative du matériel proposé.</w:t>
      </w:r>
    </w:p>
    <w:p w:rsidR="001058F4" w:rsidRPr="00D23D85" w:rsidRDefault="001058F4" w:rsidP="001058F4">
      <w:pPr>
        <w:pStyle w:val="Retraitcorpsdetexte2"/>
        <w:ind w:firstLine="0"/>
        <w:rPr>
          <w:b/>
          <w:bCs/>
          <w:sz w:val="22"/>
          <w:szCs w:val="22"/>
        </w:rPr>
      </w:pPr>
      <w:r w:rsidRPr="00D23D85">
        <w:rPr>
          <w:b/>
          <w:bCs/>
          <w:sz w:val="22"/>
          <w:szCs w:val="22"/>
        </w:rPr>
        <w:t>L’offre technique doit être présentée en deux exemplaires, un exemplaire original et une copie. En cas de différence ou de contradiction, l’exemplaire original fait foi. Pour cela, le soumissionnaire doit mentionner clairement lequel des deux exemplaires est l’original et lequel est la copie.</w:t>
      </w:r>
    </w:p>
    <w:p w:rsidR="001058F4" w:rsidRPr="003021A7" w:rsidRDefault="001058F4" w:rsidP="001058F4">
      <w:pPr>
        <w:pStyle w:val="Retraitcorpsdetexte2"/>
        <w:ind w:firstLine="0"/>
        <w:rPr>
          <w:sz w:val="16"/>
          <w:szCs w:val="16"/>
        </w:rPr>
      </w:pPr>
    </w:p>
    <w:p w:rsidR="001058F4" w:rsidRPr="004D2F04" w:rsidRDefault="001058F4" w:rsidP="001058F4">
      <w:pPr>
        <w:pStyle w:val="Retraitcorpsdetexte2"/>
        <w:ind w:firstLine="0"/>
        <w:rPr>
          <w:b/>
          <w:bCs/>
          <w:sz w:val="22"/>
          <w:szCs w:val="22"/>
          <w:u w:val="single"/>
        </w:rPr>
      </w:pPr>
      <w:r>
        <w:rPr>
          <w:b/>
          <w:bCs/>
          <w:sz w:val="22"/>
          <w:szCs w:val="22"/>
          <w:u w:val="single"/>
        </w:rPr>
        <w:t>C</w:t>
      </w:r>
      <w:r w:rsidRPr="004D2F04">
        <w:rPr>
          <w:b/>
          <w:bCs/>
          <w:sz w:val="22"/>
          <w:szCs w:val="22"/>
          <w:u w:val="single"/>
        </w:rPr>
        <w:t>. L’offre  financière contenant :</w:t>
      </w:r>
    </w:p>
    <w:p w:rsidR="001058F4" w:rsidRDefault="001058F4" w:rsidP="001058F4">
      <w:pPr>
        <w:pStyle w:val="Retraitcorpsdetexte2"/>
        <w:numPr>
          <w:ilvl w:val="0"/>
          <w:numId w:val="3"/>
        </w:numPr>
        <w:rPr>
          <w:sz w:val="22"/>
          <w:szCs w:val="22"/>
        </w:rPr>
      </w:pPr>
      <w:r>
        <w:rPr>
          <w:sz w:val="22"/>
          <w:szCs w:val="22"/>
        </w:rPr>
        <w:t>La soumission (selon le modèle joint en annexes).</w:t>
      </w:r>
    </w:p>
    <w:p w:rsidR="001058F4" w:rsidRDefault="001058F4" w:rsidP="001058F4">
      <w:pPr>
        <w:pStyle w:val="Retraitcorpsdetexte2"/>
        <w:numPr>
          <w:ilvl w:val="0"/>
          <w:numId w:val="3"/>
        </w:numPr>
        <w:rPr>
          <w:sz w:val="22"/>
          <w:szCs w:val="22"/>
        </w:rPr>
      </w:pPr>
      <w:r>
        <w:rPr>
          <w:sz w:val="22"/>
          <w:szCs w:val="22"/>
        </w:rPr>
        <w:t>Le bordereau des prix (selon le modèle joint en annexes).</w:t>
      </w:r>
    </w:p>
    <w:p w:rsidR="001058F4" w:rsidRDefault="001058F4" w:rsidP="001058F4">
      <w:pPr>
        <w:pStyle w:val="Retraitcorpsdetexte2"/>
        <w:tabs>
          <w:tab w:val="left" w:pos="1534"/>
        </w:tabs>
        <w:ind w:firstLine="0"/>
        <w:rPr>
          <w:sz w:val="22"/>
          <w:szCs w:val="22"/>
        </w:rPr>
      </w:pPr>
      <w:r>
        <w:rPr>
          <w:b/>
          <w:bCs/>
          <w:sz w:val="22"/>
          <w:szCs w:val="22"/>
        </w:rPr>
        <w:t>Les soumissionnaires doivent présenter leurs prix en Hors TVA (HT) et en Toutes Taxes Comprises (TTC).</w:t>
      </w:r>
      <w:r>
        <w:rPr>
          <w:sz w:val="22"/>
          <w:szCs w:val="22"/>
        </w:rPr>
        <w:t xml:space="preserve"> Leurs prix doivent être libellés en Dinars Tunisiens.</w:t>
      </w:r>
    </w:p>
    <w:p w:rsidR="001058F4" w:rsidRDefault="001058F4" w:rsidP="001058F4">
      <w:pPr>
        <w:pStyle w:val="Retraitcorpsdetexte2"/>
        <w:ind w:firstLine="0"/>
        <w:rPr>
          <w:b/>
          <w:bCs/>
          <w:sz w:val="22"/>
          <w:szCs w:val="22"/>
        </w:rPr>
      </w:pPr>
      <w:r w:rsidRPr="00D23D85">
        <w:rPr>
          <w:b/>
          <w:bCs/>
          <w:sz w:val="22"/>
          <w:szCs w:val="22"/>
        </w:rPr>
        <w:t>L’offre financière doit être présentée en deux exemplaires, un exemplaire original et une copie. En cas de différence ou de contradiction, l’exemplaire original fait foi. Pour cela, le soumissionnaire doit mentionner clairement lequel des deux exemplaires est l’original et lequel est la copie.</w:t>
      </w:r>
    </w:p>
    <w:p w:rsidR="003924BD" w:rsidRPr="003924BD" w:rsidRDefault="003924BD" w:rsidP="00F300DB">
      <w:pPr>
        <w:bidi w:val="0"/>
        <w:jc w:val="lowKashida"/>
        <w:rPr>
          <w:sz w:val="22"/>
          <w:szCs w:val="22"/>
          <w:lang w:val="fr-FR"/>
        </w:rPr>
      </w:pPr>
      <w:r w:rsidRPr="003924BD">
        <w:rPr>
          <w:sz w:val="22"/>
          <w:szCs w:val="22"/>
          <w:lang w:val="fr-FR"/>
        </w:rPr>
        <w:t xml:space="preserve">Le dépouillement aura lieu </w:t>
      </w:r>
      <w:r w:rsidRPr="003924BD">
        <w:rPr>
          <w:b/>
          <w:bCs/>
          <w:sz w:val="22"/>
          <w:szCs w:val="22"/>
          <w:lang w:val="fr-FR"/>
        </w:rPr>
        <w:t xml:space="preserve">le </w:t>
      </w:r>
      <w:r w:rsidR="00F300DB">
        <w:rPr>
          <w:b/>
          <w:bCs/>
          <w:sz w:val="22"/>
          <w:szCs w:val="22"/>
          <w:lang w:val="fr-FR"/>
        </w:rPr>
        <w:t xml:space="preserve">30 </w:t>
      </w:r>
      <w:r w:rsidRPr="003924BD">
        <w:rPr>
          <w:b/>
          <w:bCs/>
          <w:sz w:val="22"/>
          <w:szCs w:val="22"/>
          <w:lang w:val="fr-FR"/>
        </w:rPr>
        <w:t xml:space="preserve"> Novembre 2012</w:t>
      </w:r>
      <w:r w:rsidRPr="003924BD">
        <w:rPr>
          <w:sz w:val="22"/>
          <w:szCs w:val="22"/>
          <w:lang w:val="fr-FR"/>
        </w:rPr>
        <w:t xml:space="preserve"> à 11h00 dans la salle de réunion de l’Université de la </w:t>
      </w:r>
      <w:proofErr w:type="spellStart"/>
      <w:r w:rsidRPr="003924BD">
        <w:rPr>
          <w:sz w:val="22"/>
          <w:szCs w:val="22"/>
          <w:lang w:val="fr-FR"/>
        </w:rPr>
        <w:t>Manouba</w:t>
      </w:r>
      <w:proofErr w:type="spellEnd"/>
    </w:p>
    <w:p w:rsidR="003924BD" w:rsidRPr="00D23D85" w:rsidRDefault="003924BD" w:rsidP="001058F4">
      <w:pPr>
        <w:pStyle w:val="Retraitcorpsdetexte2"/>
        <w:ind w:firstLine="0"/>
        <w:rPr>
          <w:b/>
          <w:bCs/>
          <w:sz w:val="22"/>
          <w:szCs w:val="22"/>
        </w:rPr>
      </w:pPr>
    </w:p>
    <w:p w:rsidR="00DC1410" w:rsidRDefault="00374D88" w:rsidP="00374D88">
      <w:pPr>
        <w:bidi w:val="0"/>
        <w:ind w:left="-180" w:firstLine="708"/>
        <w:jc w:val="both"/>
        <w:rPr>
          <w:sz w:val="22"/>
          <w:szCs w:val="22"/>
          <w:lang w:val="fr-FR"/>
        </w:rPr>
      </w:pPr>
      <w:r w:rsidRPr="000B6274">
        <w:rPr>
          <w:sz w:val="22"/>
          <w:szCs w:val="22"/>
          <w:lang w:val="fr-FR"/>
        </w:rPr>
        <w:t xml:space="preserve">Pour toute information complémentaire, veuillez contacter la sous Direction des Bâtiments et des Equipements de l’Université de la </w:t>
      </w:r>
      <w:proofErr w:type="spellStart"/>
      <w:r w:rsidRPr="000B6274">
        <w:rPr>
          <w:sz w:val="22"/>
          <w:szCs w:val="22"/>
          <w:lang w:val="fr-FR"/>
        </w:rPr>
        <w:t>Manouba</w:t>
      </w:r>
      <w:proofErr w:type="spellEnd"/>
      <w:r w:rsidRPr="000B6274">
        <w:rPr>
          <w:sz w:val="22"/>
          <w:szCs w:val="22"/>
          <w:lang w:val="fr-FR"/>
        </w:rPr>
        <w:t xml:space="preserve"> (Tél. : </w:t>
      </w:r>
      <w:r>
        <w:rPr>
          <w:sz w:val="22"/>
          <w:szCs w:val="22"/>
          <w:lang w:val="fr-FR"/>
        </w:rPr>
        <w:t xml:space="preserve">71 601 315 / </w:t>
      </w:r>
      <w:r w:rsidRPr="000B6274">
        <w:rPr>
          <w:sz w:val="22"/>
          <w:szCs w:val="22"/>
          <w:lang w:val="fr-FR"/>
        </w:rPr>
        <w:t xml:space="preserve">71 602 996 / 71 601 499, </w:t>
      </w:r>
    </w:p>
    <w:p w:rsidR="00374D88" w:rsidRPr="000B6274" w:rsidRDefault="00374D88" w:rsidP="00DC1410">
      <w:pPr>
        <w:bidi w:val="0"/>
        <w:ind w:left="-180" w:firstLine="708"/>
        <w:jc w:val="both"/>
        <w:rPr>
          <w:sz w:val="22"/>
          <w:szCs w:val="22"/>
          <w:rtl/>
          <w:lang w:val="fr-FR"/>
        </w:rPr>
      </w:pPr>
      <w:r w:rsidRPr="000B6274">
        <w:rPr>
          <w:sz w:val="22"/>
          <w:szCs w:val="22"/>
          <w:lang w:val="fr-FR"/>
        </w:rPr>
        <w:t>Fax. : 71 602 211).</w:t>
      </w:r>
    </w:p>
    <w:p w:rsidR="00374D88" w:rsidRPr="000B6274" w:rsidRDefault="00374D88" w:rsidP="00374D88">
      <w:pPr>
        <w:bidi w:val="0"/>
        <w:ind w:left="-180" w:firstLine="708"/>
        <w:jc w:val="both"/>
        <w:rPr>
          <w:sz w:val="22"/>
          <w:szCs w:val="22"/>
          <w:lang w:val="fr-FR"/>
        </w:rPr>
      </w:pPr>
    </w:p>
    <w:p w:rsidR="00374D88" w:rsidRPr="000B6274" w:rsidRDefault="00374D88" w:rsidP="00374D88">
      <w:pPr>
        <w:bidi w:val="0"/>
        <w:ind w:left="-180" w:firstLine="708"/>
        <w:jc w:val="both"/>
        <w:rPr>
          <w:sz w:val="22"/>
          <w:szCs w:val="22"/>
          <w:lang w:val="fr-FR"/>
        </w:rPr>
      </w:pPr>
    </w:p>
    <w:p w:rsidR="001C0F88" w:rsidRPr="00374D88" w:rsidRDefault="001C0F88">
      <w:pPr>
        <w:rPr>
          <w:lang w:val="fr-FR"/>
        </w:rPr>
      </w:pPr>
    </w:p>
    <w:sectPr w:rsidR="001C0F88" w:rsidRPr="00374D88" w:rsidSect="001C0F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Bedini">
    <w:altName w:val="Times New Roman"/>
    <w:panose1 w:val="00000000000000000000"/>
    <w:charset w:val="00"/>
    <w:family w:val="swiss"/>
    <w:notTrueType/>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5B2C"/>
    <w:multiLevelType w:val="hybridMultilevel"/>
    <w:tmpl w:val="B14C3214"/>
    <w:lvl w:ilvl="0" w:tplc="040C000F">
      <w:start w:val="1"/>
      <w:numFmt w:val="decimal"/>
      <w:lvlText w:val="%1."/>
      <w:lvlJc w:val="left"/>
      <w:pPr>
        <w:tabs>
          <w:tab w:val="num" w:pos="1080"/>
        </w:tabs>
        <w:ind w:left="1080" w:hanging="360"/>
      </w:pPr>
      <w:rPr>
        <w:rFont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nsid w:val="19E054A0"/>
    <w:multiLevelType w:val="hybridMultilevel"/>
    <w:tmpl w:val="99F85BA8"/>
    <w:lvl w:ilvl="0" w:tplc="040C000F">
      <w:start w:val="2"/>
      <w:numFmt w:val="decimal"/>
      <w:lvlText w:val="%1."/>
      <w:lvlJc w:val="left"/>
      <w:pPr>
        <w:tabs>
          <w:tab w:val="num" w:pos="1069"/>
        </w:tabs>
        <w:ind w:left="1069" w:hanging="360"/>
      </w:pPr>
      <w:rPr>
        <w:rFonts w:cs="Times New Roman" w:hint="default"/>
      </w:rPr>
    </w:lvl>
    <w:lvl w:ilvl="1" w:tplc="040C0019">
      <w:start w:val="1"/>
      <w:numFmt w:val="lowerLetter"/>
      <w:lvlText w:val="%2."/>
      <w:lvlJc w:val="left"/>
      <w:pPr>
        <w:tabs>
          <w:tab w:val="num" w:pos="1789"/>
        </w:tabs>
        <w:ind w:left="1789" w:hanging="360"/>
      </w:pPr>
      <w:rPr>
        <w:rFonts w:cs="Times New Roman"/>
      </w:rPr>
    </w:lvl>
    <w:lvl w:ilvl="2" w:tplc="040C001B">
      <w:start w:val="1"/>
      <w:numFmt w:val="lowerRoman"/>
      <w:lvlText w:val="%3."/>
      <w:lvlJc w:val="right"/>
      <w:pPr>
        <w:tabs>
          <w:tab w:val="num" w:pos="2509"/>
        </w:tabs>
        <w:ind w:left="2509" w:hanging="180"/>
      </w:pPr>
      <w:rPr>
        <w:rFonts w:cs="Times New Roman"/>
      </w:rPr>
    </w:lvl>
    <w:lvl w:ilvl="3" w:tplc="040C000F">
      <w:start w:val="1"/>
      <w:numFmt w:val="decimal"/>
      <w:lvlText w:val="%4."/>
      <w:lvlJc w:val="left"/>
      <w:pPr>
        <w:tabs>
          <w:tab w:val="num" w:pos="3229"/>
        </w:tabs>
        <w:ind w:left="3229" w:hanging="360"/>
      </w:pPr>
      <w:rPr>
        <w:rFonts w:cs="Times New Roman"/>
      </w:rPr>
    </w:lvl>
    <w:lvl w:ilvl="4" w:tplc="040C0019">
      <w:start w:val="1"/>
      <w:numFmt w:val="lowerLetter"/>
      <w:lvlText w:val="%5."/>
      <w:lvlJc w:val="left"/>
      <w:pPr>
        <w:tabs>
          <w:tab w:val="num" w:pos="3949"/>
        </w:tabs>
        <w:ind w:left="3949" w:hanging="360"/>
      </w:pPr>
      <w:rPr>
        <w:rFonts w:cs="Times New Roman"/>
      </w:rPr>
    </w:lvl>
    <w:lvl w:ilvl="5" w:tplc="040C001B">
      <w:start w:val="1"/>
      <w:numFmt w:val="lowerRoman"/>
      <w:lvlText w:val="%6."/>
      <w:lvlJc w:val="right"/>
      <w:pPr>
        <w:tabs>
          <w:tab w:val="num" w:pos="4669"/>
        </w:tabs>
        <w:ind w:left="4669" w:hanging="180"/>
      </w:pPr>
      <w:rPr>
        <w:rFonts w:cs="Times New Roman"/>
      </w:rPr>
    </w:lvl>
    <w:lvl w:ilvl="6" w:tplc="040C000F">
      <w:start w:val="1"/>
      <w:numFmt w:val="decimal"/>
      <w:lvlText w:val="%7."/>
      <w:lvlJc w:val="left"/>
      <w:pPr>
        <w:tabs>
          <w:tab w:val="num" w:pos="5389"/>
        </w:tabs>
        <w:ind w:left="5389" w:hanging="360"/>
      </w:pPr>
      <w:rPr>
        <w:rFonts w:cs="Times New Roman"/>
      </w:rPr>
    </w:lvl>
    <w:lvl w:ilvl="7" w:tplc="040C0019">
      <w:start w:val="1"/>
      <w:numFmt w:val="lowerLetter"/>
      <w:lvlText w:val="%8."/>
      <w:lvlJc w:val="left"/>
      <w:pPr>
        <w:tabs>
          <w:tab w:val="num" w:pos="6109"/>
        </w:tabs>
        <w:ind w:left="6109" w:hanging="360"/>
      </w:pPr>
      <w:rPr>
        <w:rFonts w:cs="Times New Roman"/>
      </w:rPr>
    </w:lvl>
    <w:lvl w:ilvl="8" w:tplc="040C001B">
      <w:start w:val="1"/>
      <w:numFmt w:val="lowerRoman"/>
      <w:lvlText w:val="%9."/>
      <w:lvlJc w:val="right"/>
      <w:pPr>
        <w:tabs>
          <w:tab w:val="num" w:pos="6829"/>
        </w:tabs>
        <w:ind w:left="6829" w:hanging="180"/>
      </w:pPr>
      <w:rPr>
        <w:rFonts w:cs="Times New Roman"/>
      </w:rPr>
    </w:lvl>
  </w:abstractNum>
  <w:abstractNum w:abstractNumId="2">
    <w:nsid w:val="62B1669D"/>
    <w:multiLevelType w:val="hybridMultilevel"/>
    <w:tmpl w:val="B14C3214"/>
    <w:lvl w:ilvl="0" w:tplc="040C000F">
      <w:start w:val="1"/>
      <w:numFmt w:val="decimal"/>
      <w:lvlText w:val="%1."/>
      <w:lvlJc w:val="left"/>
      <w:pPr>
        <w:tabs>
          <w:tab w:val="num" w:pos="1080"/>
        </w:tabs>
        <w:ind w:left="1080" w:hanging="360"/>
      </w:pPr>
      <w:rPr>
        <w:rFont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4D88"/>
    <w:rsid w:val="000B5293"/>
    <w:rsid w:val="000C5165"/>
    <w:rsid w:val="000F437C"/>
    <w:rsid w:val="001032D6"/>
    <w:rsid w:val="001058F4"/>
    <w:rsid w:val="00110C42"/>
    <w:rsid w:val="001C0F88"/>
    <w:rsid w:val="00307136"/>
    <w:rsid w:val="00374D88"/>
    <w:rsid w:val="003806FD"/>
    <w:rsid w:val="003924BD"/>
    <w:rsid w:val="004408DA"/>
    <w:rsid w:val="007321AF"/>
    <w:rsid w:val="007E162B"/>
    <w:rsid w:val="007F3CE4"/>
    <w:rsid w:val="00892453"/>
    <w:rsid w:val="00B422D4"/>
    <w:rsid w:val="00C274DF"/>
    <w:rsid w:val="00C53C5A"/>
    <w:rsid w:val="00CC0696"/>
    <w:rsid w:val="00CC77BF"/>
    <w:rsid w:val="00D637BA"/>
    <w:rsid w:val="00D764B0"/>
    <w:rsid w:val="00D84B0B"/>
    <w:rsid w:val="00DC1410"/>
    <w:rsid w:val="00DD566B"/>
    <w:rsid w:val="00F011B3"/>
    <w:rsid w:val="00F300D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D88"/>
    <w:pPr>
      <w:autoSpaceDE w:val="0"/>
      <w:autoSpaceDN w:val="0"/>
      <w:bidi/>
      <w:adjustRightInd w:val="0"/>
      <w:spacing w:after="0" w:line="240" w:lineRule="auto"/>
    </w:pPr>
    <w:rPr>
      <w:rFonts w:ascii="Times New Roman" w:eastAsia="Times New Roman" w:hAnsi="Times New Roman" w:cs="Times New Roman"/>
      <w:sz w:val="20"/>
      <w:szCs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374D88"/>
    <w:pPr>
      <w:autoSpaceDE/>
      <w:autoSpaceDN/>
      <w:bidi w:val="0"/>
      <w:adjustRightInd/>
      <w:jc w:val="center"/>
    </w:pPr>
    <w:rPr>
      <w:b/>
      <w:bCs/>
      <w:shadow/>
      <w:sz w:val="28"/>
      <w:szCs w:val="28"/>
      <w:lang w:val="fr-FR"/>
    </w:rPr>
  </w:style>
  <w:style w:type="character" w:customStyle="1" w:styleId="TitreCar">
    <w:name w:val="Titre Car"/>
    <w:basedOn w:val="Policepardfaut"/>
    <w:link w:val="Titre"/>
    <w:rsid w:val="00374D88"/>
    <w:rPr>
      <w:rFonts w:ascii="Times New Roman" w:eastAsia="Times New Roman" w:hAnsi="Times New Roman" w:cs="Times New Roman"/>
      <w:b/>
      <w:bCs/>
      <w:shadow/>
      <w:sz w:val="28"/>
      <w:szCs w:val="28"/>
      <w:lang w:eastAsia="fr-FR"/>
    </w:rPr>
  </w:style>
  <w:style w:type="paragraph" w:styleId="Retraitcorpsdetexte2">
    <w:name w:val="Body Text Indent 2"/>
    <w:basedOn w:val="Normal"/>
    <w:link w:val="Retraitcorpsdetexte2Car"/>
    <w:rsid w:val="001058F4"/>
    <w:pPr>
      <w:autoSpaceDE/>
      <w:autoSpaceDN/>
      <w:bidi w:val="0"/>
      <w:adjustRightInd/>
      <w:ind w:firstLine="567"/>
      <w:jc w:val="both"/>
    </w:pPr>
    <w:rPr>
      <w:sz w:val="24"/>
      <w:lang w:val="fr-FR"/>
    </w:rPr>
  </w:style>
  <w:style w:type="character" w:customStyle="1" w:styleId="Retraitcorpsdetexte2Car">
    <w:name w:val="Retrait corps de texte 2 Car"/>
    <w:basedOn w:val="Policepardfaut"/>
    <w:link w:val="Retraitcorpsdetexte2"/>
    <w:rsid w:val="001058F4"/>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ma.rnu.t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900</Words>
  <Characters>4955</Characters>
  <Application>Microsoft Office Word</Application>
  <DocSecurity>0</DocSecurity>
  <Lines>41</Lines>
  <Paragraphs>11</Paragraphs>
  <ScaleCrop>false</ScaleCrop>
  <Company>UMA</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dc:creator>
  <cp:keywords/>
  <dc:description/>
  <cp:lastModifiedBy>Administrateur</cp:lastModifiedBy>
  <cp:revision>9</cp:revision>
  <cp:lastPrinted>2012-09-25T14:40:00Z</cp:lastPrinted>
  <dcterms:created xsi:type="dcterms:W3CDTF">2012-10-24T07:09:00Z</dcterms:created>
  <dcterms:modified xsi:type="dcterms:W3CDTF">2012-11-09T13:34:00Z</dcterms:modified>
</cp:coreProperties>
</file>